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9B4B9" w14:textId="77777777" w:rsidR="00457B4E" w:rsidRPr="00457B4E" w:rsidRDefault="00457B4E" w:rsidP="00457B4E">
      <w:r w:rsidRPr="00457B4E">
        <w:t>O Termo de Referência prevê Fase de Preparação com duração de 30 dias, sem remuneração, ao mesmo tempo em que exige a alocação da equipe técnica já nesse período.</w:t>
      </w:r>
    </w:p>
    <w:p w14:paraId="1C46F64D" w14:textId="77777777" w:rsidR="00457B4E" w:rsidRPr="00457B4E" w:rsidRDefault="00457B4E" w:rsidP="00457B4E">
      <w:r w:rsidRPr="00457B4E">
        <w:t>Diante disso, questiona-se:</w:t>
      </w:r>
    </w:p>
    <w:p w14:paraId="69639A53" w14:textId="3F8AC1F8" w:rsidR="00457B4E" w:rsidRDefault="00457B4E" w:rsidP="00457B4E">
      <w:r w:rsidRPr="00457B4E">
        <w:t>a) a contratada deverá suportar integralmente, às suas expensas, a folha de pagamento da equipe técnica e os custos operacionais correspondentes durante o primeiro mês, sem qualquer contrapartida financeira da Administração?</w:t>
      </w:r>
      <w:r>
        <w:br/>
        <w:t>Resposta: Entendimento incorreto. A fase de preparação destina-se à absorção de conhecimentos internos do ambiente da Susep bem como à seleção e formação das equipes através de apresentação dos futuros perfis profissionais que atuarão somente após o fim da fase de preparação. A fase de preparação também inclui a apresentação de todos os documentos administrativos e técnicos necessários para início da fase de operações.</w:t>
      </w:r>
    </w:p>
    <w:p w14:paraId="5744B6D6" w14:textId="4957FE90" w:rsidR="00457B4E" w:rsidRPr="00457B4E" w:rsidRDefault="00457B4E" w:rsidP="00457B4E">
      <w:r>
        <w:t>Por outro lado, será imprescindível a atuação do preposto da empresa contratada, com</w:t>
      </w:r>
      <w:r w:rsidR="00CF24F8">
        <w:t>o</w:t>
      </w:r>
      <w:r>
        <w:t xml:space="preserve"> mediador entre a Susep e os futuros perfis profissionais disponibilizados.</w:t>
      </w:r>
    </w:p>
    <w:p w14:paraId="2D243E64" w14:textId="77777777" w:rsidR="00457B4E" w:rsidRDefault="00457B4E" w:rsidP="00457B4E">
      <w:r w:rsidRPr="00457B4E">
        <w:t>b) para fins de composição da Planilha de Custos e Formação de Preços, a Administração orienta que tais custos sejam diluídos ao longo da execução contratual? Em caso positivo, qual o critério a ser observado para que a proposta não seja considerada inexequível?</w:t>
      </w:r>
    </w:p>
    <w:p w14:paraId="3309676B" w14:textId="65109DD3" w:rsidR="00457B4E" w:rsidRPr="00457B4E" w:rsidRDefault="00457B4E" w:rsidP="00457B4E">
      <w:r>
        <w:t>Resposta: verificar questionamento anterior.</w:t>
      </w:r>
    </w:p>
    <w:p w14:paraId="627A4CCE" w14:textId="77777777" w:rsidR="00457B4E" w:rsidRPr="00457B4E" w:rsidRDefault="00457B4E" w:rsidP="00457B4E">
      <w:pPr>
        <w:numPr>
          <w:ilvl w:val="0"/>
          <w:numId w:val="9"/>
        </w:numPr>
      </w:pPr>
      <w:r w:rsidRPr="00457B4E">
        <w:rPr>
          <w:b/>
          <w:bCs/>
        </w:rPr>
        <w:t>Deslocamentos para atendimentos presenciais</w:t>
      </w:r>
    </w:p>
    <w:p w14:paraId="08E169CF" w14:textId="77777777" w:rsidR="00457B4E" w:rsidRPr="00457B4E" w:rsidRDefault="00457B4E" w:rsidP="00457B4E">
      <w:r w:rsidRPr="00457B4E">
        <w:t>A equipe mínima exigida está distribuída entre Rio de Janeiro/RJ, São Paulo/SP e Distrito Federal/DF. Contudo, há previsão de atendimento a usuários em Porto Alegre/RS, bem como execução de atividades presenciais no Arquivo-Geral/RJ. O edital dispõe, ainda, que os custos de transporte entre pontos remotos e presenciais correrão por conta da contratada.</w:t>
      </w:r>
    </w:p>
    <w:p w14:paraId="4AA4DE0D" w14:textId="77777777" w:rsidR="00457B4E" w:rsidRPr="00457B4E" w:rsidRDefault="00457B4E" w:rsidP="00457B4E">
      <w:r w:rsidRPr="00457B4E">
        <w:t>Nesse contexto, questiona-se:</w:t>
      </w:r>
    </w:p>
    <w:p w14:paraId="31E766E0" w14:textId="2E096E16" w:rsidR="00457B4E" w:rsidRPr="00457B4E" w:rsidRDefault="00457B4E" w:rsidP="00457B4E">
      <w:r w:rsidRPr="00457B4E">
        <w:t>a) havendo necessidade de suporte presencial em Porto Alegre/RS, onde não há profissional residente exigido na equipe mínima, os custos de deslocamento, hospedagem e demais despesas logísticas serão integralmente suportados pela contratada?</w:t>
      </w:r>
      <w:r w:rsidR="00181471">
        <w:br/>
        <w:t>Resposta: Em Porto Alegre/RS haverá apenas atendimento remoto. Os deslocamentos entre o prédio da Presidente Vargas / RJ e Franklin Roosevelt / RJ ocorrerão por conta da Susep.</w:t>
      </w:r>
    </w:p>
    <w:p w14:paraId="7AA948FD" w14:textId="41811278" w:rsidR="00457B4E" w:rsidRPr="00457B4E" w:rsidRDefault="00457B4E" w:rsidP="00181471">
      <w:r w:rsidRPr="00457B4E">
        <w:t xml:space="preserve">b) existe histórico ou estimativa anual de deslocamentos presenciais para unidades não cobertas diretamente pela equipe mínima, para fins de adequado </w:t>
      </w:r>
      <w:r w:rsidRPr="00457B4E">
        <w:lastRenderedPageBreak/>
        <w:t>provisionamento de custos pelas licitantes?</w:t>
      </w:r>
      <w:r w:rsidR="00181471">
        <w:br/>
        <w:t>Resposta: ainda não existe volumetria para este evento.</w:t>
      </w:r>
      <w:r w:rsidR="00181471">
        <w:br/>
      </w:r>
      <w:r w:rsidRPr="00457B4E">
        <w:rPr>
          <w:b/>
          <w:bCs/>
        </w:rPr>
        <w:t>Acionamentos fora do expediente e impactos na composição de custos</w:t>
      </w:r>
    </w:p>
    <w:p w14:paraId="4B6218C8" w14:textId="77777777" w:rsidR="00457B4E" w:rsidRPr="00457B4E" w:rsidRDefault="00457B4E" w:rsidP="00457B4E">
      <w:r w:rsidRPr="00457B4E">
        <w:t>O Termo de Referência estabelece como horário padrão de prestação dos serviços o período de 9h às 18h, em dias úteis, sem trabalho noturno, em feriados ou finais de semana. Todavia, prevê que, excepcionalmente, a SUSEP poderá solicitar a prestação de serviços fora desse horário, sem ônus adicional.</w:t>
      </w:r>
    </w:p>
    <w:p w14:paraId="0D5D88B3" w14:textId="77777777" w:rsidR="00457B4E" w:rsidRPr="00457B4E" w:rsidRDefault="00457B4E" w:rsidP="00457B4E">
      <w:r w:rsidRPr="00457B4E">
        <w:t>Assim, questiona-se:</w:t>
      </w:r>
    </w:p>
    <w:p w14:paraId="5851FEE9" w14:textId="28EF483E" w:rsidR="00457B4E" w:rsidRPr="00457B4E" w:rsidRDefault="00457B4E" w:rsidP="00457B4E">
      <w:r w:rsidRPr="00457B4E">
        <w:t>a) qual a volumetria histórica, ou estimativa, de acionamentos fora do expediente padrão?</w:t>
      </w:r>
      <w:r w:rsidR="00181471">
        <w:br/>
      </w:r>
      <w:r w:rsidR="00181471" w:rsidRPr="00181471">
        <w:t>Resposta: ainda não existe volumetria para este evento.</w:t>
      </w:r>
    </w:p>
    <w:p w14:paraId="78B9A336" w14:textId="5E399129" w:rsidR="00457B4E" w:rsidRPr="00457B4E" w:rsidRDefault="00457B4E" w:rsidP="00181471">
      <w:r w:rsidRPr="00457B4E">
        <w:t>b) considerando que tais acionamentos não gerarão ônus adicional para a Administração, as licitantes devem considerar, em sua formação de preços, previsão de banco de horas, sobreaviso ou mecanismo equivalente?</w:t>
      </w:r>
      <w:r w:rsidR="00181471">
        <w:br/>
      </w:r>
      <w:r w:rsidR="00181471" w:rsidRPr="00181471">
        <w:t>Resposta:</w:t>
      </w:r>
      <w:r w:rsidR="00181471">
        <w:t xml:space="preserve"> Solicitamos verificar as especificações do Termo de Referência, lembrando que não estão previstos serviços em horário extraordinário, finais de semana e feriado, bem como horas extras. </w:t>
      </w:r>
      <w:r w:rsidR="002E5BEF">
        <w:br/>
      </w:r>
      <w:r w:rsidRPr="00457B4E">
        <w:rPr>
          <w:b/>
          <w:bCs/>
        </w:rPr>
        <w:t>Capacidade de execução simultânea de projetos e dimensionamento da equipe mínima</w:t>
      </w:r>
    </w:p>
    <w:p w14:paraId="04B74888" w14:textId="77777777" w:rsidR="00457B4E" w:rsidRPr="00457B4E" w:rsidRDefault="00457B4E" w:rsidP="00457B4E">
      <w:r w:rsidRPr="00457B4E">
        <w:t>O Termo de Referência exige capacidade de execução simultânea de até 32 projetos, sendo 16 na Central de Serviços, 8 em Sistemas Operacionais e 8 em Segurança da Informação, sem prejuízo das atividades rotineiras. Por outro lado, a equipe mínima exigida é de 11 profissionais, que também deverão suportar a rotina de atendimento aos usuários e demais demandas operacionais.</w:t>
      </w:r>
    </w:p>
    <w:p w14:paraId="06662AE7" w14:textId="77777777" w:rsidR="00457B4E" w:rsidRPr="00457B4E" w:rsidRDefault="00457B4E" w:rsidP="00457B4E">
      <w:r w:rsidRPr="00457B4E">
        <w:t>Diante disso, questiona-se:</w:t>
      </w:r>
    </w:p>
    <w:p w14:paraId="18889AD0" w14:textId="463F29BF" w:rsidR="00457B4E" w:rsidRPr="00457B4E" w:rsidRDefault="00457B4E" w:rsidP="00457B4E">
      <w:r w:rsidRPr="00457B4E">
        <w:t>a) a Administração entende que a equipe mínima prevista no edital é suficiente e realista para suportar, simultaneamente, a rotina operacional, os chamados, os projetos paralelos e os Níveis Mínimos de Serviço exigidos?</w:t>
      </w:r>
      <w:r w:rsidR="00181471">
        <w:br/>
        <w:t>Resposta: entendimento correto, a Susep enten</w:t>
      </w:r>
      <w:r w:rsidR="00453BDE">
        <w:t>d</w:t>
      </w:r>
      <w:r w:rsidR="00181471">
        <w:t>e que a composição de perfis profissionais é suficiente para atender o máximo de projetos simultâneos.</w:t>
      </w:r>
    </w:p>
    <w:p w14:paraId="4BA7EE8F" w14:textId="37B26055" w:rsidR="00457B4E" w:rsidRPr="00457B4E" w:rsidRDefault="00457B4E" w:rsidP="00457B4E">
      <w:r w:rsidRPr="00457B4E">
        <w:t>b) a Administração estima, ao longo da execução contratual, a necessidade recorrente de ampliação da equipe além do quantitativo mínimo previsto no instrumento convocatório?</w:t>
      </w:r>
      <w:r w:rsidR="009E1266">
        <w:br/>
        <w:t>Resposta: em primeiro momento não há necessidade de inclusão de equipe além do quantitativo mínimo estabelecido no Termo de Referência.</w:t>
      </w:r>
    </w:p>
    <w:p w14:paraId="0477CB5B" w14:textId="77777777" w:rsidR="00457B4E" w:rsidRPr="00457B4E" w:rsidRDefault="00457B4E" w:rsidP="00457B4E">
      <w:pPr>
        <w:numPr>
          <w:ilvl w:val="0"/>
          <w:numId w:val="12"/>
        </w:numPr>
      </w:pPr>
      <w:r w:rsidRPr="00457B4E">
        <w:rPr>
          <w:b/>
          <w:bCs/>
        </w:rPr>
        <w:t>Critérios de equivalência para certificações e referência ao “item 3.3”</w:t>
      </w:r>
    </w:p>
    <w:p w14:paraId="02C108A7" w14:textId="77777777" w:rsidR="00457B4E" w:rsidRPr="00457B4E" w:rsidRDefault="00457B4E" w:rsidP="00457B4E">
      <w:r w:rsidRPr="00457B4E">
        <w:lastRenderedPageBreak/>
        <w:t>O Anexo 01 exige certificações específicas, como, por exemplo, CompTIA CySA+, FCP em Cloud Security, Microsoft AZ-800, entre outras. O documento também admite certificações ou comprovações alternativas de experiência, desde que avaliadas como equivalentes a critério da SUSEP. Além disso, em diversos trechos consta observação de que “os itens relacionados ao SysAid poderão ser atendidos na forma do item 3.3 deste anexo”, sem que a referência pareça claramente identificável nesses pontos.</w:t>
      </w:r>
    </w:p>
    <w:p w14:paraId="427590B0" w14:textId="77777777" w:rsidR="00457B4E" w:rsidRPr="00457B4E" w:rsidRDefault="00457B4E" w:rsidP="00457B4E">
      <w:r w:rsidRPr="00457B4E">
        <w:t>Assim, questiona-se:</w:t>
      </w:r>
    </w:p>
    <w:p w14:paraId="333C7540" w14:textId="1D244EFC" w:rsidR="00457B4E" w:rsidRPr="00457B4E" w:rsidRDefault="00457B4E" w:rsidP="00457B4E">
      <w:r w:rsidRPr="00457B4E">
        <w:t>a) quais são os critérios objetivos que serão adotados pela Administração para análise e aceitação de certificações equivalentes?</w:t>
      </w:r>
      <w:r w:rsidR="00453BDE">
        <w:br/>
        <w:t>Resposta: serão adotados critérios de equivalência de forma a validar a qualidade do perfil profissional considerando a experiência prévia nas ferramentas solicitadas referentes à atuação do perfil profissional correspondente.</w:t>
      </w:r>
    </w:p>
    <w:p w14:paraId="316AE367" w14:textId="762CF354" w:rsidR="00457B4E" w:rsidRPr="00457B4E" w:rsidRDefault="00457B4E" w:rsidP="00457B4E">
      <w:r w:rsidRPr="00457B4E">
        <w:t>b) qual é, precisamente, o conteúdo normativo a que se refere a menção reiterada ao “item 3.3” do anexo, especialmente no tocante aos requisitos relacionados ao SysAid?</w:t>
      </w:r>
      <w:r w:rsidR="00453BDE">
        <w:br/>
      </w:r>
      <w:r w:rsidR="004A0611">
        <w:t>Resposta: A portaria SGD/MGI nº 1.070/2023 estabelece as obrigações referentes às ferramentas de sustentação do ambiente da Contratante. Devendo a Contratada, às suas expensas realizar a capacitação necessária para uso diário da ferramenta.</w:t>
      </w:r>
    </w:p>
    <w:p w14:paraId="6CA2C75F" w14:textId="77777777" w:rsidR="00457B4E" w:rsidRPr="00457B4E" w:rsidRDefault="00457B4E" w:rsidP="00457B4E">
      <w:pPr>
        <w:numPr>
          <w:ilvl w:val="0"/>
          <w:numId w:val="13"/>
        </w:numPr>
      </w:pPr>
      <w:r w:rsidRPr="00457B4E">
        <w:rPr>
          <w:b/>
          <w:bCs/>
        </w:rPr>
        <w:t>Desenvolvimento da ferramenta de backlog de projetos</w:t>
      </w:r>
    </w:p>
    <w:p w14:paraId="3BC7895D" w14:textId="77777777" w:rsidR="00457B4E" w:rsidRPr="00457B4E" w:rsidRDefault="00457B4E" w:rsidP="00457B4E">
      <w:r w:rsidRPr="00457B4E">
        <w:t>O edital prevê que a contratada deverá desenvolver, manter e evoluir ferramenta colaborativa para gerenciamento do backlog de projetos, a ser transferida ao final do contrato à propriedade da SUSEP. Em outro ponto, informa-se que essa solução deverá ser desenvolvida preferencialmente com uso das ferramentas já disponibilizadas pela Administração, como Microsoft Office 365 e/ou SysAid.</w:t>
      </w:r>
    </w:p>
    <w:p w14:paraId="70ED8661" w14:textId="77777777" w:rsidR="00457B4E" w:rsidRPr="00457B4E" w:rsidRDefault="00457B4E" w:rsidP="00457B4E">
      <w:r w:rsidRPr="00457B4E">
        <w:t>Diante disso, questiona-se:</w:t>
      </w:r>
    </w:p>
    <w:p w14:paraId="63493005" w14:textId="513FBCB6" w:rsidR="00457B4E" w:rsidRPr="00457B4E" w:rsidRDefault="00457B4E" w:rsidP="00457B4E">
      <w:r w:rsidRPr="00457B4E">
        <w:t>a) a obrigação contratual consiste no desenvolvimento de solução nova, com atividades típicas de construção de software, arquitetura, codificação e entrega de propriedade intelectual à Administração, ou se restringe à configuração, parametrização, automações, workflows e painéis nas ferramentas já disponibilizadas pela SUSEP?</w:t>
      </w:r>
      <w:r w:rsidR="004A0611">
        <w:br/>
        <w:t>Resposta: inicialmente será a parametrização e padronização de recursos de projeto.</w:t>
      </w:r>
    </w:p>
    <w:p w14:paraId="09C42888" w14:textId="61399B35" w:rsidR="00457B4E" w:rsidRPr="00457B4E" w:rsidRDefault="00457B4E" w:rsidP="00457B4E">
      <w:r w:rsidRPr="00457B4E">
        <w:t>b) eventual custo dessa solução poderá ser destacado de forma apartada na proposta comercial ou deverá necessariamente estar embutido no preço global do grupo?</w:t>
      </w:r>
      <w:r w:rsidR="00D978B3">
        <w:br/>
      </w:r>
      <w:r w:rsidR="00D978B3">
        <w:lastRenderedPageBreak/>
        <w:t>A parametrização e padronização será realizada em comum acordo entre a Susep e a Contratada, sem ônus adicional para a Susep.</w:t>
      </w:r>
    </w:p>
    <w:p w14:paraId="45538E6C" w14:textId="10294A38" w:rsidR="00457B4E" w:rsidRPr="00457B4E" w:rsidRDefault="00457B4E" w:rsidP="00457B4E">
      <w:r w:rsidRPr="00457B4E">
        <w:t>c) como se dará a sustentação da ferramenta após o período de handover à Administração?</w:t>
      </w:r>
      <w:r w:rsidR="00D978B3">
        <w:br/>
        <w:t>Resposta: a sustentação da ferramenta após a padronização será supervisionada pela Susep, devendo à contratada realizar os ajustes que ser fizerem pertinentes.</w:t>
      </w:r>
    </w:p>
    <w:p w14:paraId="318B94BC" w14:textId="77777777" w:rsidR="00457B4E" w:rsidRPr="00457B4E" w:rsidRDefault="00457B4E" w:rsidP="00457B4E">
      <w:pPr>
        <w:numPr>
          <w:ilvl w:val="0"/>
          <w:numId w:val="14"/>
        </w:numPr>
      </w:pPr>
      <w:r w:rsidRPr="00457B4E">
        <w:rPr>
          <w:b/>
          <w:bCs/>
        </w:rPr>
        <w:t>Tolerância de indisponibilidade versus penalização contratual</w:t>
      </w:r>
    </w:p>
    <w:p w14:paraId="52D5BF6C" w14:textId="77777777" w:rsidR="00457B4E" w:rsidRPr="00457B4E" w:rsidRDefault="00457B4E" w:rsidP="00457B4E">
      <w:r w:rsidRPr="00457B4E">
        <w:t>Conforme Anexo 19, determinados serviços críticos admitem indisponibilidade de até 6 horas mensais sem caracterização de violação de NMS. Entretanto, o Termo de Serviço TS08 prevê perda de 0,5 ponto na avaliação de desempenho por “causar qualquer indisponibilidade dos serviços da CONTRATANTE na execução das atividades”.</w:t>
      </w:r>
    </w:p>
    <w:p w14:paraId="6D1D64E1" w14:textId="77777777" w:rsidR="00457B4E" w:rsidRPr="00457B4E" w:rsidRDefault="00457B4E" w:rsidP="00457B4E">
      <w:r w:rsidRPr="00457B4E">
        <w:t>Assim, questiona-se:</w:t>
      </w:r>
    </w:p>
    <w:p w14:paraId="1BB3F2FE" w14:textId="0DA5920C" w:rsidR="00457B4E" w:rsidRPr="00457B4E" w:rsidRDefault="00457B4E" w:rsidP="00457B4E">
      <w:r w:rsidRPr="00457B4E">
        <w:t>a) a penalidade prevista no TS08 será aplicada a toda e qualquer indisponibilidade causada no ambiente, independentemente da tolerância prevista no Anexo 19?</w:t>
      </w:r>
      <w:r w:rsidR="00D978B3">
        <w:br/>
        <w:t>Resposta: Entendimento incorreto, a penalidade prevista o TS08 dependerá de avaliação da proatividade efetiva d</w:t>
      </w:r>
      <w:r w:rsidR="00C54A6A">
        <w:t>a</w:t>
      </w:r>
      <w:r w:rsidR="00D978B3">
        <w:t xml:space="preserve"> contratada na atuação do incidente</w:t>
      </w:r>
      <w:r w:rsidR="00C54A6A">
        <w:t xml:space="preserve"> sendo avaliada em conjunto com a </w:t>
      </w:r>
      <w:r w:rsidR="00C54A6A" w:rsidRPr="00C54A6A">
        <w:t>tolerância prevista no Anexo 19</w:t>
      </w:r>
      <w:r w:rsidR="00C54A6A">
        <w:t xml:space="preserve"> caso aplicável</w:t>
      </w:r>
      <w:r w:rsidR="00D978B3">
        <w:t>.</w:t>
      </w:r>
    </w:p>
    <w:p w14:paraId="617DB970" w14:textId="23F27A02" w:rsidR="00457B4E" w:rsidRPr="00457B4E" w:rsidRDefault="00457B4E" w:rsidP="00457B4E">
      <w:r w:rsidRPr="00457B4E">
        <w:t>b) ou a Administração observará, para fins de glosa e penalização, a tolerância de indisponibilidade prevista no Anexo 19 antes de caracterizar descumprimento contratual?</w:t>
      </w:r>
      <w:r w:rsidR="00C54A6A">
        <w:br/>
      </w:r>
      <w:r w:rsidR="00C54A6A" w:rsidRPr="00C54A6A">
        <w:t>Resposta: Entendimento incorreto, a penalidade prevista o TS08 dependerá de avaliação da proatividade efetiva da contratada na atuação do incidente sendo avaliada em conjunto com a tolerância prevista no Anexo 19 caso aplicável.</w:t>
      </w:r>
    </w:p>
    <w:p w14:paraId="2F3FDC40" w14:textId="77777777" w:rsidR="00457B4E" w:rsidRPr="00457B4E" w:rsidRDefault="00457B4E" w:rsidP="00457B4E">
      <w:pPr>
        <w:numPr>
          <w:ilvl w:val="0"/>
          <w:numId w:val="15"/>
        </w:numPr>
      </w:pPr>
      <w:r w:rsidRPr="00457B4E">
        <w:rPr>
          <w:b/>
          <w:bCs/>
        </w:rPr>
        <w:t>Referência para cálculo de exequibilidade e fator K</w:t>
      </w:r>
    </w:p>
    <w:p w14:paraId="3FF13F91" w14:textId="77777777" w:rsidR="00457B4E" w:rsidRPr="00457B4E" w:rsidRDefault="00457B4E" w:rsidP="00457B4E">
      <w:r w:rsidRPr="00457B4E">
        <w:t>O edital estabelece que propostas com Fator K inferior a 80% do valor sugerido pela Portaria SGD/MGI nº 1.070/2023 estarão sujeitas à presunção relativa de inexequibilidade.</w:t>
      </w:r>
    </w:p>
    <w:p w14:paraId="25207FFC" w14:textId="77777777" w:rsidR="00457B4E" w:rsidRPr="00457B4E" w:rsidRDefault="00457B4E" w:rsidP="00457B4E">
      <w:r w:rsidRPr="00457B4E">
        <w:t>Nesse sentido, questiona-se:</w:t>
      </w:r>
    </w:p>
    <w:p w14:paraId="1AA131E7" w14:textId="3A3ED22C" w:rsidR="00111BE3" w:rsidRDefault="00457B4E" w:rsidP="00111BE3">
      <w:r w:rsidRPr="00457B4E">
        <w:t>a) qual Convenção Coletiva de Trabalho, piso salarial ou remuneração mínima aceitável foi adotada pela Administração como referência para composição dos salários-base nas localidades de DF, SP e RJ?</w:t>
      </w:r>
      <w:r w:rsidR="00276EF0">
        <w:br/>
        <w:t xml:space="preserve">Resposta: </w:t>
      </w:r>
      <w:r w:rsidR="00111BE3">
        <w:t>A planilha de custos disponibilizada anexa ao edital constitui modelo referencial, tendo sido obtida no sítio oficial da Secretaria de Governo Digital – SGD (</w:t>
      </w:r>
      <w:r w:rsidR="00111BE3" w:rsidRPr="00111BE3">
        <w:t>https://www.gov.br/governodigital/pt-br</w:t>
      </w:r>
      <w:r w:rsidR="00111BE3">
        <w:t>), correspondendo à versão mais atual disponível, publicada no ano de 2025.</w:t>
      </w:r>
    </w:p>
    <w:p w14:paraId="35043C84" w14:textId="77777777" w:rsidR="00111BE3" w:rsidRDefault="00111BE3" w:rsidP="00111BE3">
      <w:r>
        <w:lastRenderedPageBreak/>
        <w:t xml:space="preserve"> </w:t>
      </w:r>
    </w:p>
    <w:p w14:paraId="7E92665F" w14:textId="77777777" w:rsidR="00111BE3" w:rsidRDefault="00111BE3" w:rsidP="00111BE3">
      <w:r>
        <w:t>Os custos variáveis deverão ser dimensionados pelos licitantes conforme sua própria estratégia, experiência e realidade operacional, observando todas as orientações constantes do Modelo de Contratação de Serviços de Operação de Infraestrutura e de Atendimento a Usuários de TIC, bem como demais normativos correlatos da Secretaria de Governo Digital.</w:t>
      </w:r>
    </w:p>
    <w:p w14:paraId="0E15AD2A" w14:textId="448D6157" w:rsidR="00111BE3" w:rsidRDefault="00111BE3" w:rsidP="00111BE3">
      <w:r>
        <w:t>As propostas deverão observar instrumento coletivo vigente aplicável à categoria profissional envolvida na execução contratual.</w:t>
      </w:r>
    </w:p>
    <w:p w14:paraId="64FFBEC9" w14:textId="7EDC31D3" w:rsidR="00111BE3" w:rsidRDefault="00111BE3" w:rsidP="00111BE3">
      <w:r>
        <w:t>As alíquotas de tributos deverão ser informadas de acordo com a natureza jurídica de cada licitante e o respectivo regime de tributação ao qual esteja submetido, em estrita observância à legislação vigente.</w:t>
      </w:r>
    </w:p>
    <w:p w14:paraId="6ADAA602" w14:textId="1B591BD4" w:rsidR="00457B4E" w:rsidRPr="00457B4E" w:rsidRDefault="00111BE3" w:rsidP="00111BE3">
      <w:r>
        <w:t>A proposta será analisada pela Administração nos termos do edital e da legislação aplicável, cabendo ao licitante assegurar a exequibilidade e a adequada composição de sua proposta, podendo ser realizadas diligências para fins de comprovação das informações apresentadas.</w:t>
      </w:r>
    </w:p>
    <w:p w14:paraId="611F9528" w14:textId="4971357B" w:rsidR="00457B4E" w:rsidRPr="00457B4E" w:rsidRDefault="00457B4E" w:rsidP="00457B4E">
      <w:r w:rsidRPr="00457B4E">
        <w:t>b) qual parâmetro remuneratório foi utilizado para o cálculo do Fator K de referência constante do edital?</w:t>
      </w:r>
      <w:r w:rsidR="00276EF0">
        <w:br/>
        <w:t xml:space="preserve">Resposta: foi utilizado o Fator K definido na </w:t>
      </w:r>
      <w:r w:rsidR="00276EF0" w:rsidRPr="00276EF0">
        <w:t>Portaria SGD/MGI nº 1.070/2023</w:t>
      </w:r>
      <w:r w:rsidR="00276EF0">
        <w:t>.</w:t>
      </w:r>
    </w:p>
    <w:p w14:paraId="13AA183E" w14:textId="77777777" w:rsidR="00457B4E" w:rsidRPr="00457B4E" w:rsidRDefault="00457B4E" w:rsidP="00457B4E">
      <w:pPr>
        <w:numPr>
          <w:ilvl w:val="0"/>
          <w:numId w:val="16"/>
        </w:numPr>
      </w:pPr>
      <w:r w:rsidRPr="00457B4E">
        <w:rPr>
          <w:b/>
          <w:bCs/>
        </w:rPr>
        <w:t>Reajuste contratual e alterações supervenientes no ambiente normativo</w:t>
      </w:r>
    </w:p>
    <w:p w14:paraId="7F70CDE6" w14:textId="77777777" w:rsidR="00457B4E" w:rsidRPr="00457B4E" w:rsidRDefault="00457B4E" w:rsidP="00457B4E">
      <w:r w:rsidRPr="00457B4E">
        <w:t>O edital prevê reajuste mediante aplicação do Índice de Custos de Tecnologia da Informação (ICTI), mantido pelo IPEA.</w:t>
      </w:r>
    </w:p>
    <w:p w14:paraId="2597E66B" w14:textId="77777777" w:rsidR="00457B4E" w:rsidRPr="00457B4E" w:rsidRDefault="00457B4E" w:rsidP="00457B4E">
      <w:r w:rsidRPr="00457B4E">
        <w:t>Diante disso, questiona-se:</w:t>
      </w:r>
    </w:p>
    <w:p w14:paraId="22B370B2" w14:textId="77777777" w:rsidR="00672C1B" w:rsidRDefault="00457B4E" w:rsidP="00672C1B">
      <w:r w:rsidRPr="00457B4E">
        <w:t>a) na hipótese de alterações legislativas ou normativas supervenientes com impacto relevante sobre a carga tributária, encargos trabalhistas, previdenciários ou demais custos da contratação, tais eventos poderão ensejar pedido de reequilíbrio econômico-financeiro do contrato, independentemente da aplicação do ICTI?</w:t>
      </w:r>
      <w:r w:rsidR="00672C1B">
        <w:br/>
        <w:t xml:space="preserve">Resposta: </w:t>
      </w:r>
      <w:r w:rsidR="00672C1B">
        <w:t xml:space="preserve">A proposta deverá ser elaborada considerando as condições vigentes na data de sua apresentação, ou seja, com base nas alíquotas efetivamente aplicáveis naquele momento, não sendo necessária a antecipação de custos futuros decorrentes da majoração gradual da contribuição previdenciária. </w:t>
      </w:r>
    </w:p>
    <w:p w14:paraId="4F6F6612" w14:textId="1913682D" w:rsidR="00457B4E" w:rsidRPr="00457B4E" w:rsidRDefault="00672C1B" w:rsidP="00672C1B">
      <w:r>
        <w:t xml:space="preserve">Eventual aumento de custos decorrente da reoneração da folha de pagamento será tratado por meio de revisão contratual, a ser solicitada pela contratada após a efetiva majoração das alíquotas, nos termos dos arts. 134 e 136, inciso I, da Lei </w:t>
      </w:r>
      <w:r>
        <w:lastRenderedPageBreak/>
        <w:t>nº 14.133/2021, e conforme o regime de transição estabelecido nos arts. 9º-A e 9º-B da Lei nº 12.546/2011, com redação dada pela Lei nº 14.973/2024.</w:t>
      </w:r>
    </w:p>
    <w:p w14:paraId="7FAB9A26" w14:textId="4013F187" w:rsidR="00457B4E" w:rsidRPr="00457B4E" w:rsidRDefault="00457B4E" w:rsidP="00457B4E">
      <w:r w:rsidRPr="00457B4E">
        <w:t>b) em caso positivo, qual será o procedimento e a documentação mínima esperada pela Administração para análise de eventual pleito de recomposição?</w:t>
      </w:r>
      <w:r w:rsidR="00672C1B">
        <w:br/>
        <w:t xml:space="preserve">Resposta: serão solicitados à empresa os documentos previstos na </w:t>
      </w:r>
      <w:r w:rsidR="00672C1B" w:rsidRPr="00672C1B">
        <w:t>Lei nº 14.133/2021</w:t>
      </w:r>
      <w:r w:rsidR="00672C1B">
        <w:t xml:space="preserve"> e legislação correlata.</w:t>
      </w:r>
    </w:p>
    <w:p w14:paraId="7545AD4C" w14:textId="77777777" w:rsidR="00457B4E" w:rsidRPr="00457B4E" w:rsidRDefault="00457B4E" w:rsidP="00457B4E">
      <w:r w:rsidRPr="00457B4E">
        <w:t>Diante da relevância dos pontos acima para a correta elaboração das propostas, solicitamos, por gentileza, os esclarecimentos cabíveis.</w:t>
      </w:r>
    </w:p>
    <w:p w14:paraId="0D162271" w14:textId="77777777" w:rsidR="00457B4E" w:rsidRPr="00457B4E" w:rsidRDefault="00457B4E" w:rsidP="00457B4E">
      <w:r w:rsidRPr="00457B4E">
        <w:t>Continuamos à disposição para prestar esclarecimentos adicionais, caso seja necessário.</w:t>
      </w:r>
    </w:p>
    <w:p w14:paraId="2533F6D5" w14:textId="77777777" w:rsidR="00457B4E" w:rsidRPr="00457B4E" w:rsidRDefault="00457B4E" w:rsidP="00457B4E">
      <w:r w:rsidRPr="00457B4E">
        <w:t>Atenciosamente, </w:t>
      </w:r>
    </w:p>
    <w:p w14:paraId="3F39C6E5" w14:textId="75A277CF" w:rsidR="00A64EBD" w:rsidRPr="00457B4E" w:rsidRDefault="00A64EBD" w:rsidP="00457B4E"/>
    <w:sectPr w:rsidR="00A64EBD" w:rsidRPr="00457B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66C"/>
    <w:multiLevelType w:val="multilevel"/>
    <w:tmpl w:val="135270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146B4"/>
    <w:multiLevelType w:val="multilevel"/>
    <w:tmpl w:val="53D0CD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57846"/>
    <w:multiLevelType w:val="multilevel"/>
    <w:tmpl w:val="F0E07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9F11DB"/>
    <w:multiLevelType w:val="multilevel"/>
    <w:tmpl w:val="6B680D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213FCA"/>
    <w:multiLevelType w:val="multilevel"/>
    <w:tmpl w:val="C2B426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E422EE"/>
    <w:multiLevelType w:val="multilevel"/>
    <w:tmpl w:val="FD72B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193E0F"/>
    <w:multiLevelType w:val="multilevel"/>
    <w:tmpl w:val="20EA1E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3B41B4"/>
    <w:multiLevelType w:val="multilevel"/>
    <w:tmpl w:val="C494D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1A0C22"/>
    <w:multiLevelType w:val="multilevel"/>
    <w:tmpl w:val="35E8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C17527"/>
    <w:multiLevelType w:val="multilevel"/>
    <w:tmpl w:val="307A2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325683"/>
    <w:multiLevelType w:val="multilevel"/>
    <w:tmpl w:val="3C748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124E92"/>
    <w:multiLevelType w:val="multilevel"/>
    <w:tmpl w:val="0CB847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037AAA"/>
    <w:multiLevelType w:val="multilevel"/>
    <w:tmpl w:val="2E028E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6A0D9B"/>
    <w:multiLevelType w:val="multilevel"/>
    <w:tmpl w:val="68DC2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727F15"/>
    <w:multiLevelType w:val="multilevel"/>
    <w:tmpl w:val="4F4687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9A7A8A"/>
    <w:multiLevelType w:val="multilevel"/>
    <w:tmpl w:val="A9E42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882939">
    <w:abstractNumId w:val="5"/>
  </w:num>
  <w:num w:numId="2" w16cid:durableId="1093017464">
    <w:abstractNumId w:val="15"/>
  </w:num>
  <w:num w:numId="3" w16cid:durableId="190920226">
    <w:abstractNumId w:val="12"/>
  </w:num>
  <w:num w:numId="4" w16cid:durableId="1531259470">
    <w:abstractNumId w:val="10"/>
  </w:num>
  <w:num w:numId="5" w16cid:durableId="2010597165">
    <w:abstractNumId w:val="6"/>
  </w:num>
  <w:num w:numId="6" w16cid:durableId="1062407182">
    <w:abstractNumId w:val="9"/>
  </w:num>
  <w:num w:numId="7" w16cid:durableId="1548757118">
    <w:abstractNumId w:val="3"/>
  </w:num>
  <w:num w:numId="8" w16cid:durableId="2093551152">
    <w:abstractNumId w:val="2"/>
  </w:num>
  <w:num w:numId="9" w16cid:durableId="715205128">
    <w:abstractNumId w:val="8"/>
  </w:num>
  <w:num w:numId="10" w16cid:durableId="1490901554">
    <w:abstractNumId w:val="7"/>
  </w:num>
  <w:num w:numId="11" w16cid:durableId="1930654370">
    <w:abstractNumId w:val="14"/>
  </w:num>
  <w:num w:numId="12" w16cid:durableId="644622784">
    <w:abstractNumId w:val="1"/>
  </w:num>
  <w:num w:numId="13" w16cid:durableId="887255347">
    <w:abstractNumId w:val="11"/>
  </w:num>
  <w:num w:numId="14" w16cid:durableId="843980057">
    <w:abstractNumId w:val="13"/>
  </w:num>
  <w:num w:numId="15" w16cid:durableId="723331198">
    <w:abstractNumId w:val="0"/>
  </w:num>
  <w:num w:numId="16" w16cid:durableId="1051541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62FDE"/>
    <w:rsid w:val="000745F4"/>
    <w:rsid w:val="00092EBE"/>
    <w:rsid w:val="00111BE3"/>
    <w:rsid w:val="00133D43"/>
    <w:rsid w:val="00181471"/>
    <w:rsid w:val="00276EF0"/>
    <w:rsid w:val="002E5BEF"/>
    <w:rsid w:val="00353B15"/>
    <w:rsid w:val="00395418"/>
    <w:rsid w:val="003F06E1"/>
    <w:rsid w:val="004438DB"/>
    <w:rsid w:val="00453BDE"/>
    <w:rsid w:val="00457B4E"/>
    <w:rsid w:val="004A0611"/>
    <w:rsid w:val="004B1683"/>
    <w:rsid w:val="00547AC8"/>
    <w:rsid w:val="005B13E3"/>
    <w:rsid w:val="005E5B34"/>
    <w:rsid w:val="00612FC5"/>
    <w:rsid w:val="00614BBC"/>
    <w:rsid w:val="00672C1B"/>
    <w:rsid w:val="006C477F"/>
    <w:rsid w:val="006E3657"/>
    <w:rsid w:val="00753C8A"/>
    <w:rsid w:val="008A013A"/>
    <w:rsid w:val="00927B97"/>
    <w:rsid w:val="009A68A0"/>
    <w:rsid w:val="009E06DD"/>
    <w:rsid w:val="009E1266"/>
    <w:rsid w:val="00A43ADD"/>
    <w:rsid w:val="00A477A2"/>
    <w:rsid w:val="00A64EBD"/>
    <w:rsid w:val="00A8391F"/>
    <w:rsid w:val="00B604A6"/>
    <w:rsid w:val="00B77F5B"/>
    <w:rsid w:val="00C473B1"/>
    <w:rsid w:val="00C54A6A"/>
    <w:rsid w:val="00C823BB"/>
    <w:rsid w:val="00CF24F8"/>
    <w:rsid w:val="00D84286"/>
    <w:rsid w:val="00D978B3"/>
    <w:rsid w:val="00D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F93"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1726</Words>
  <Characters>10341</Characters>
  <Application>Microsoft Office Word</Application>
  <DocSecurity>0</DocSecurity>
  <Lines>202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26</cp:revision>
  <dcterms:created xsi:type="dcterms:W3CDTF">2026-04-02T14:36:00Z</dcterms:created>
  <dcterms:modified xsi:type="dcterms:W3CDTF">2026-04-22T13:00:00Z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